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Kompletterande seglingsföreskrifter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9vdmb68wi86t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Datum: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13 sept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Plats: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Ålstens Båtsällskap, Grönviksvägen 9, BROMMA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Båtklasser: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ILCA4 (jr), ILCA6 (jr resp. öppen), e-jolle (öppen jr)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Aero 5 (öppen jr)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Arrangör: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MKS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</w:t>
        <w:tab/>
        <w:t xml:space="preserve">Tävlingsexpeditionens och signalmastens placering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70" w:right="1361" w:hanging="5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Tävlingsexpeditionen är placerad i ’gula stugan’ på ÅBS hamnplan nära piren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0" w:lineRule="auto"/>
        <w:rPr>
          <w:rFonts w:ascii="Arial" w:cs="Arial" w:eastAsia="Arial" w:hAnsi="Arial"/>
          <w:i w:val="1"/>
          <w:iCs w:val="1"/>
          <w:color w:val="00b0f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</w:t>
        <w:tab/>
        <w:t xml:space="preserve">Signaler visas på land i signalmasten som är placerad vid ’gula stugan’, dessa refereras muntligt på MKS hamnplan på Pettersbergsvägen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0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1.3</w:t>
        <w:tab/>
        <w:t xml:space="preserve">När flagga AP visas i land på ÅBS ersätts ”en minut” i kappseglingssignaler med ”tidigast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minuter”.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ind w:left="0" w:righ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</w:t>
        <w:tab/>
        <w:t xml:space="preserve">Tidsprogram</w:t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2.1</w:t>
        <w:tab/>
      </w:r>
    </w:p>
    <w:tbl>
      <w:tblPr>
        <w:tblStyle w:val="Table1"/>
        <w:tblW w:w="8495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8"/>
        <w:gridCol w:w="6367"/>
        <w:tblGridChange w:id="0">
          <w:tblGrid>
            <w:gridCol w:w="2128"/>
            <w:gridCol w:w="6367"/>
          </w:tblGrid>
        </w:tblGridChange>
      </w:tblGrid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Tid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Aktivitet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Skepparmöte, ÅBS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Första start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Kortare extra uppehåll för matpaus efter andra seglingen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 genomför upp till 6 seglingar</w:t>
            </w:r>
            <w:r w:rsidDel="00000000" w:rsidR="00000000" w:rsidRPr="00000000">
              <w:rPr>
                <w:rFonts w:ascii="Arial" w:cs="Arial" w:eastAsia="Arial" w:hAnsi="Arial"/>
                <w:color w:val="00b0f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(måltid är ca. 30 min per race,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  <w:rtl w:val="0"/>
              </w:rPr>
              <w:t xml:space="preserve">vid svag vind blir det längre tid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yellow"/>
                <w:rtl w:val="0"/>
              </w:rPr>
              <w:t xml:space="preserve">upp till 60 min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15:15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67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Tidsgräns för sista varningssignal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567"/>
        </w:tabs>
        <w:spacing w:after="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2.2</w:t>
        <w:tab/>
        <w:t xml:space="preserve">Preliminär startordning:</w:t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Gemensam start planeras</w:t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Startordningen kan komma att ändras med separerade starter, slutligt besked ges på skepparmöte</w:t>
      </w:r>
    </w:p>
    <w:p w:rsidR="00000000" w:rsidDel="00000000" w:rsidP="00000000" w:rsidRDefault="00000000" w:rsidRPr="00000000" w14:paraId="00000028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Varningssignal: 5 minuter före start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70" w:right="113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right="4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2.3</w:t>
        <w:tab/>
        <w:t xml:space="preserve">15:15 är senaste tiden för en varningssignal</w:t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spacing w:after="0" w:lineRule="auto"/>
        <w:ind w:right="4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spacing w:after="0" w:lineRule="auto"/>
        <w:ind w:right="425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</w:t>
        <w:tab/>
        <w:t xml:space="preserve">Märken</w:t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hjqgmovbioak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</w:t>
        <w:tab/>
        <w:t xml:space="preserve">Startboj är en röd flagga</w:t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Start-/målflagga på start/målfartyg är en röd flagga</w:t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Målboj är en röd flagga</w:t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spacing w:after="0" w:lineRule="auto"/>
        <w:ind w:right="4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Kryssmärke för ILCA6. </w:t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Lämärke är en gul cylinder</w:t>
      </w:r>
    </w:p>
    <w:p w:rsidR="00000000" w:rsidDel="00000000" w:rsidP="00000000" w:rsidRDefault="00000000" w:rsidRPr="00000000" w14:paraId="00000032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Sista rundningsmärke är startboj/röd flagga</w:t>
      </w:r>
    </w:p>
    <w:p w:rsidR="00000000" w:rsidDel="00000000" w:rsidP="00000000" w:rsidRDefault="00000000" w:rsidRPr="00000000" w14:paraId="00000033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color w:val="4472c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3.2</w:t>
        <w:tab/>
        <w:t xml:space="preserve">Vid banändring flyttas befintliga märken (ersätter KSR 33)</w:t>
      </w:r>
    </w:p>
    <w:p w:rsidR="00000000" w:rsidDel="00000000" w:rsidP="00000000" w:rsidRDefault="00000000" w:rsidRPr="00000000" w14:paraId="00000036">
      <w:pPr>
        <w:spacing w:after="0" w:lineRule="auto"/>
        <w:ind w:right="4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b0f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</w:t>
        <w:tab/>
        <w:t xml:space="preserve">Tidsbegränsning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67"/>
        </w:tabs>
        <w:spacing w:after="0" w:lineRule="auto"/>
        <w:ind w:right="4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4.3</w:t>
        <w:tab/>
        <w:t xml:space="preserve">Målgångsfönstret är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minuter.</w:t>
      </w:r>
    </w:p>
    <w:p w:rsidR="00000000" w:rsidDel="00000000" w:rsidP="00000000" w:rsidRDefault="00000000" w:rsidRPr="00000000" w14:paraId="00000039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</w:t>
        <w:tab/>
        <w:t xml:space="preserve">Banan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Banan är en kryss/läns med halvvindsmålgång enligt skiss nedan. </w:t>
      </w:r>
    </w:p>
    <w:p w:rsidR="00000000" w:rsidDel="00000000" w:rsidP="00000000" w:rsidRDefault="00000000" w:rsidRPr="00000000" w14:paraId="0000003C">
      <w:pPr>
        <w:spacing w:after="0" w:lineRule="auto"/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ILCA6: Start-1-2-3-1-2-3-mål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67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7"/>
        </w:tabs>
        <w:spacing w:after="0" w:lineRule="auto"/>
        <w:ind w:left="0" w:right="425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5.1 </w:t>
        <w:tab/>
        <w:t xml:space="preserve">Banskiss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</w:rPr>
        <w:drawing>
          <wp:inline distB="0" distT="0" distL="0" distR="0">
            <wp:extent cx="1997357" cy="3304717"/>
            <wp:effectExtent b="0" l="0" r="0" t="0"/>
            <wp:docPr descr="A diagram of a graph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diagram of a graph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7357" cy="3304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Följande startsignaler gäller, detta ändrar KSR 26 samt AppSF 7.1:</w:t>
      </w:r>
    </w:p>
    <w:p w:rsidR="00000000" w:rsidDel="00000000" w:rsidP="00000000" w:rsidRDefault="00000000" w:rsidRPr="00000000" w14:paraId="00000043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3223"/>
        <w:gridCol w:w="2398"/>
        <w:tblGridChange w:id="0">
          <w:tblGrid>
            <w:gridCol w:w="3397"/>
            <w:gridCol w:w="3223"/>
            <w:gridCol w:w="23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Rule="auto"/>
              <w:ind w:left="0" w:right="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Minuter före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startsignalen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420"/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Flagga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Ljud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 (Varningssignal)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Sifferflagg 5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Kort tut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Sifferflagg 4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Kort tut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Sifferflagg 3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Kort tut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Sifferflagg 2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Kort tut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Sifferflagg 1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Kort tut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Start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667"/>
                <w:tab w:val="left" w:leader="none" w:pos="721"/>
              </w:tabs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Flaggor ner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Kort tut</w:t>
            </w:r>
          </w:p>
        </w:tc>
      </w:tr>
    </w:tbl>
    <w:p w:rsidR="00000000" w:rsidDel="00000000" w:rsidP="00000000" w:rsidRDefault="00000000" w:rsidRPr="00000000" w14:paraId="0000005A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Tuta alternativt visselpipa används som signal</w:t>
      </w:r>
    </w:p>
    <w:p w:rsidR="00000000" w:rsidDel="00000000" w:rsidP="00000000" w:rsidRDefault="00000000" w:rsidRPr="00000000" w14:paraId="0000005C">
      <w:pPr>
        <w:spacing w:after="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Datum: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20260419</w:t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after="0" w:lineRule="auto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/>
      <w:drawing>
        <wp:inline distB="0" distT="0" distL="0" distR="0">
          <wp:extent cx="822208" cy="581928"/>
          <wp:effectExtent b="0" l="0" r="0" t="0"/>
          <wp:docPr descr="C:\Users\l.gustafsson\Downloads\MKS-Logo.jpeg" id="2" name="image2.jpg"/>
          <a:graphic>
            <a:graphicData uri="http://schemas.openxmlformats.org/drawingml/2006/picture">
              <pic:pic>
                <pic:nvPicPr>
                  <pic:cNvPr descr="C:\Users\l.gustafsson\Downloads\MKS-Logo.jpe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208" cy="581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Liros Cup Ost 13e sept MKS-ÅBS 2026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567" w:right="1361" w:hanging="567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70" w:hanging="570"/>
      </w:pPr>
      <w:rPr/>
    </w:lvl>
    <w:lvl w:ilvl="1">
      <w:start w:val="1"/>
      <w:numFmt w:val="decimal"/>
      <w:lvlText w:val="%1.%2"/>
      <w:lvlJc w:val="left"/>
      <w:pPr>
        <w:ind w:left="570" w:hanging="57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>
        <w:spacing w:after="120" w:lineRule="auto"/>
        <w:ind w:left="567" w:right="136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120" w:line="240" w:lineRule="auto"/>
      <w:ind w:left="567" w:right="1361" w:hanging="567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120" w:line="240" w:lineRule="auto"/>
      <w:ind w:left="567" w:right="1361" w:hanging="567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vOJT5hE97ITpDMJTfnCDWds6A==">CgMxLjAyDmguOXZkbWI2OHdpODZ0Mg5oLmhqcWdtb3ZiaW9hazgAciExT0pQSVRHNHJ1cXpKaEVEc1JWRHMySWpmcXlxZUZZdnY=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emil.axelson@scania.com</vt:lpwstr>
  </property>
  <property fmtid="{D5CDD505-2E9C-101B-9397-08002B2CF9AE}" pid="5" name="MSIP_Label_a7f2ec83-e677-438d-afb7-4c7c0dbc872b_SetDate">
    <vt:lpwstr>2021-08-15T04:44:24.5574437Z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